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231369">
      <w:pPr>
        <w:jc w:val="center"/>
      </w:pPr>
      <w:bookmarkStart w:id="0" w:name="_GoBack"/>
      <w:bookmarkEnd w:id="0"/>
      <w:r>
        <w:rPr>
          <w:rStyle w:val="s1"/>
        </w:rPr>
        <w:t>Приказ Председателя Комитета по делам строительства и жилищно-коммунального хозяйства Министерства индустрии и инфраструктурного развития Республики Казахстан от 27 апреля 2021 года № 54-НҚ</w:t>
      </w:r>
    </w:p>
    <w:p w:rsidR="00000000" w:rsidRDefault="00231369">
      <w:pPr>
        <w:ind w:firstLine="397"/>
        <w:jc w:val="center"/>
      </w:pPr>
      <w:r>
        <w:rPr>
          <w:b/>
          <w:bCs/>
        </w:rPr>
        <w:t>О внесении изменений и дополнений в некоторые приказы</w:t>
      </w:r>
    </w:p>
    <w:p w:rsidR="00000000" w:rsidRDefault="00231369">
      <w:pPr>
        <w:ind w:firstLine="397"/>
        <w:jc w:val="center"/>
      </w:pPr>
      <w:r>
        <w:t> </w:t>
      </w:r>
    </w:p>
    <w:p w:rsidR="00000000" w:rsidRDefault="00231369">
      <w:pPr>
        <w:ind w:firstLine="397"/>
        <w:jc w:val="both"/>
      </w:pPr>
      <w:r>
        <w:t xml:space="preserve">В соответствии с </w:t>
      </w:r>
      <w:hyperlink r:id="rId7" w:anchor="sub_id=1400" w:history="1">
        <w:r>
          <w:rPr>
            <w:rStyle w:val="a4"/>
          </w:rPr>
          <w:t>подпунктом 46) пункта 14</w:t>
        </w:r>
      </w:hyperlink>
      <w:r>
        <w:t xml:space="preserve"> Положения о Комитете по делам строительства и жилищно-коммунального хозяйства Министерства индустрии и инфраструктурного развития Ре</w:t>
      </w:r>
      <w:r>
        <w:t xml:space="preserve">спублики Казахстан, утвержденного приказом Министра индустрии и инфраструктурного развития Республики Казахстан 30 января 2019 года № 55, </w:t>
      </w:r>
      <w:r>
        <w:rPr>
          <w:b/>
          <w:bCs/>
        </w:rPr>
        <w:t>ПРИКАЗЫВАЮ:</w:t>
      </w:r>
    </w:p>
    <w:p w:rsidR="00000000" w:rsidRDefault="00231369">
      <w:pPr>
        <w:ind w:firstLine="397"/>
        <w:jc w:val="both"/>
      </w:pPr>
      <w:r>
        <w:t xml:space="preserve">1. Внести в </w:t>
      </w:r>
      <w:hyperlink r:id="rId8" w:history="1">
        <w:r>
          <w:rPr>
            <w:rStyle w:val="a4"/>
          </w:rPr>
          <w:t>приказ</w:t>
        </w:r>
      </w:hyperlink>
      <w:r>
        <w:t xml:space="preserve"> исполняющего обязаннос</w:t>
      </w:r>
      <w:r>
        <w:t>ти Председателя Комитета по делам строительства, жилищно-коммунального хозяйства и управления земельными ресурсами Министерства национальной экономики Республики Казахстан от 29 декабря 2014 года № 156-НҚ «Об утверждении новой нормативной базы строительной</w:t>
      </w:r>
      <w:r>
        <w:t xml:space="preserve"> отрасли» следующие изменения:</w:t>
      </w:r>
    </w:p>
    <w:p w:rsidR="00000000" w:rsidRDefault="00231369">
      <w:pPr>
        <w:ind w:firstLine="397"/>
        <w:jc w:val="both"/>
      </w:pPr>
      <w:r>
        <w:t xml:space="preserve">в </w:t>
      </w:r>
      <w:hyperlink r:id="rId9" w:history="1">
        <w:r>
          <w:rPr>
            <w:rStyle w:val="a4"/>
          </w:rPr>
          <w:t>Своде правил</w:t>
        </w:r>
      </w:hyperlink>
      <w:r>
        <w:t xml:space="preserve"> Республики Казахстан СП РК 3.02-101-2012* «Здания жилые многоквартирные», утвержденным указанным приказом:</w:t>
      </w:r>
    </w:p>
    <w:p w:rsidR="00000000" w:rsidRDefault="00231369">
      <w:pPr>
        <w:ind w:firstLine="397"/>
        <w:jc w:val="both"/>
      </w:pPr>
      <w:r>
        <w:t xml:space="preserve">строку 7* </w:t>
      </w:r>
      <w:hyperlink r:id="rId10" w:anchor="sub_id=11" w:history="1">
        <w:r>
          <w:rPr>
            <w:rStyle w:val="a4"/>
          </w:rPr>
          <w:t>таблицы 1</w:t>
        </w:r>
      </w:hyperlink>
      <w:r>
        <w:t xml:space="preserve"> - Классификация жилых зданий изложить в следующей редакции:</w:t>
      </w:r>
    </w:p>
    <w:p w:rsidR="00000000" w:rsidRDefault="00231369">
      <w:pPr>
        <w:ind w:firstLine="397"/>
        <w:jc w:val="both"/>
      </w:pPr>
      <w:r>
        <w:t>«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4"/>
        <w:gridCol w:w="831"/>
        <w:gridCol w:w="822"/>
        <w:gridCol w:w="960"/>
        <w:gridCol w:w="1729"/>
        <w:gridCol w:w="2149"/>
      </w:tblGrid>
      <w:tr w:rsidR="00000000">
        <w:tc>
          <w:tcPr>
            <w:tcW w:w="1617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center"/>
            </w:pPr>
            <w:r>
              <w:t>Показатели</w:t>
            </w:r>
          </w:p>
        </w:tc>
        <w:tc>
          <w:tcPr>
            <w:tcW w:w="3383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center"/>
            </w:pPr>
            <w:r>
              <w:t>Классификация жилых зданий</w:t>
            </w:r>
          </w:p>
        </w:tc>
      </w:tr>
      <w:tr w:rsidR="00000000">
        <w:tc>
          <w:tcPr>
            <w:tcW w:w="16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center"/>
            </w:pPr>
            <w:r>
              <w:t> </w:t>
            </w: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center"/>
            </w:pPr>
            <w:r>
              <w:rPr>
                <w:lang w:val="en-US"/>
              </w:rPr>
              <w:t xml:space="preserve">I </w:t>
            </w:r>
            <w:r>
              <w:t>класс</w:t>
            </w:r>
          </w:p>
        </w:tc>
        <w:tc>
          <w:tcPr>
            <w:tcW w:w="49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center"/>
            </w:pPr>
            <w:r>
              <w:rPr>
                <w:lang w:val="en-US"/>
              </w:rPr>
              <w:t xml:space="preserve">II </w:t>
            </w:r>
            <w:r>
              <w:t>класс</w:t>
            </w:r>
          </w:p>
        </w:tc>
        <w:tc>
          <w:tcPr>
            <w:tcW w:w="56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center"/>
            </w:pPr>
            <w:r>
              <w:rPr>
                <w:lang w:val="en-US"/>
              </w:rPr>
              <w:t xml:space="preserve">III </w:t>
            </w:r>
            <w:r>
              <w:t>класс</w:t>
            </w:r>
          </w:p>
        </w:tc>
        <w:tc>
          <w:tcPr>
            <w:tcW w:w="6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center"/>
            </w:pPr>
            <w:r>
              <w:rPr>
                <w:lang w:val="en-US"/>
              </w:rPr>
              <w:t xml:space="preserve">IV </w:t>
            </w:r>
            <w:r>
              <w:t>класс</w:t>
            </w:r>
          </w:p>
        </w:tc>
        <w:tc>
          <w:tcPr>
            <w:tcW w:w="11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center"/>
            </w:pPr>
            <w:r>
              <w:t>Малогабаритное жилье</w:t>
            </w:r>
          </w:p>
        </w:tc>
      </w:tr>
      <w:tr w:rsidR="00000000">
        <w:tc>
          <w:tcPr>
            <w:tcW w:w="16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r>
              <w:t>Наличие парковочных мест на одну квартиру в автопаркинге, подземном, надземном, пристроенном, встроено-пристроенном к жилому комплексу</w:t>
            </w: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center"/>
            </w:pPr>
            <w:r>
              <w:t>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center"/>
            </w:pPr>
            <w:r>
              <w:t>1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center"/>
            </w:pPr>
            <w:r>
              <w:t>0,5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center"/>
            </w:pPr>
            <w:r>
              <w:t>По заданию на</w:t>
            </w:r>
          </w:p>
          <w:p w:rsidR="00000000" w:rsidRDefault="00231369">
            <w:pPr>
              <w:jc w:val="center"/>
            </w:pPr>
            <w:r>
              <w:t>проектирование</w:t>
            </w:r>
          </w:p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center"/>
            </w:pPr>
            <w:r>
              <w:t>По заданию на проектирование</w:t>
            </w:r>
          </w:p>
        </w:tc>
      </w:tr>
    </w:tbl>
    <w:p w:rsidR="00000000" w:rsidRDefault="00231369">
      <w:pPr>
        <w:ind w:firstLine="397"/>
        <w:jc w:val="right"/>
      </w:pPr>
      <w:r>
        <w:t>»;</w:t>
      </w:r>
    </w:p>
    <w:p w:rsidR="00000000" w:rsidRDefault="00231369">
      <w:pPr>
        <w:ind w:firstLine="397"/>
        <w:jc w:val="both"/>
      </w:pPr>
      <w:hyperlink r:id="rId11" w:anchor="sub_id=400" w:history="1">
        <w:r>
          <w:rPr>
            <w:rStyle w:val="a4"/>
          </w:rPr>
          <w:t>пункт 4.2.29</w:t>
        </w:r>
      </w:hyperlink>
      <w:r>
        <w:t xml:space="preserve"> изложить в следующей редакции:</w:t>
      </w:r>
    </w:p>
    <w:p w:rsidR="00000000" w:rsidRDefault="00231369">
      <w:pPr>
        <w:ind w:firstLine="397"/>
        <w:jc w:val="both"/>
      </w:pPr>
      <w:r>
        <w:t>«4.2.29 В здании в помещении консьержки, во внеквартирных коридорах и мусоросборных камерах следует предусматривать дымовые пожарные извещатели. Дымовые пожарные извещатели со встроенными светозвуковыми сиренами следует устанавливать в квартирах независимо</w:t>
      </w:r>
      <w:r>
        <w:t xml:space="preserve"> от этажности жилого многоквартирного дома.»;</w:t>
      </w:r>
    </w:p>
    <w:p w:rsidR="00000000" w:rsidRDefault="00231369">
      <w:pPr>
        <w:ind w:firstLine="397"/>
        <w:jc w:val="both"/>
      </w:pPr>
      <w:hyperlink r:id="rId12" w:anchor="sub_id=400" w:history="1">
        <w:r>
          <w:rPr>
            <w:rStyle w:val="a4"/>
          </w:rPr>
          <w:t>пункт 4.2.29-1</w:t>
        </w:r>
      </w:hyperlink>
      <w:r>
        <w:t xml:space="preserve"> исключить;</w:t>
      </w:r>
    </w:p>
    <w:p w:rsidR="00000000" w:rsidRDefault="00231369">
      <w:pPr>
        <w:ind w:firstLine="397"/>
        <w:jc w:val="both"/>
      </w:pPr>
      <w:hyperlink r:id="rId13" w:anchor="sub_id=400" w:history="1">
        <w:r>
          <w:rPr>
            <w:rStyle w:val="a4"/>
          </w:rPr>
          <w:t>пункт 4.4.7.6</w:t>
        </w:r>
      </w:hyperlink>
      <w:r>
        <w:rPr>
          <w:i/>
          <w:iCs/>
        </w:rPr>
        <w:t xml:space="preserve"> </w:t>
      </w:r>
      <w:r>
        <w:t>изложить в следующей редакции:</w:t>
      </w:r>
    </w:p>
    <w:p w:rsidR="00000000" w:rsidRDefault="00231369">
      <w:pPr>
        <w:ind w:firstLine="397"/>
        <w:jc w:val="both"/>
      </w:pPr>
      <w:r>
        <w:t>«4.4.7.6 В пределах территории жилой застройки следует предусматривать открытые площадки для автостоянки (парковки) легковых автомобилей жильцов, для офисных помещений встраиваемых в жилые здания, а также гостевые, из расчета</w:t>
      </w:r>
      <w:r>
        <w:t xml:space="preserve"> 100 машино-мест на 1000 жителей, удаленные от подъездов обслуживаемых жилых домов не более чем на 200 м.</w:t>
      </w:r>
    </w:p>
    <w:p w:rsidR="00000000" w:rsidRDefault="00231369">
      <w:pPr>
        <w:ind w:firstLine="397"/>
        <w:jc w:val="both"/>
      </w:pPr>
      <w:r>
        <w:t>При этом норму 100 машино-мест на 1000 жителей допускается компенсировать устройством паркингов (подземных, встроенных, пристроенных, отдельно стоящих</w:t>
      </w:r>
      <w:r>
        <w:t>), но не менее 40 машино-мест на 1000 жителей.»;</w:t>
      </w:r>
    </w:p>
    <w:p w:rsidR="00000000" w:rsidRDefault="00231369">
      <w:pPr>
        <w:ind w:firstLine="397"/>
        <w:jc w:val="both"/>
      </w:pPr>
      <w:r>
        <w:t xml:space="preserve">в </w:t>
      </w:r>
      <w:hyperlink r:id="rId14" w:history="1">
        <w:r>
          <w:rPr>
            <w:rStyle w:val="a4"/>
          </w:rPr>
          <w:t>Своде правил</w:t>
        </w:r>
      </w:hyperlink>
      <w:r>
        <w:t xml:space="preserve"> Республики Казахстан СП РК 3.01-101-2013 «Градостроительство. Планировка и застройка городских и сельских населенных пунктов», </w:t>
      </w:r>
      <w:r>
        <w:t>утвержденным указанным приказом:</w:t>
      </w:r>
    </w:p>
    <w:p w:rsidR="00000000" w:rsidRDefault="00231369">
      <w:pPr>
        <w:ind w:firstLine="397"/>
        <w:jc w:val="both"/>
      </w:pPr>
      <w:hyperlink r:id="rId15" w:anchor="sub_id=800" w:history="1">
        <w:r>
          <w:rPr>
            <w:rStyle w:val="a4"/>
          </w:rPr>
          <w:t>пункт 8.8.1</w:t>
        </w:r>
      </w:hyperlink>
      <w:r>
        <w:t xml:space="preserve"> изложить в следующей редакции:</w:t>
      </w:r>
    </w:p>
    <w:p w:rsidR="00000000" w:rsidRDefault="00231369">
      <w:pPr>
        <w:ind w:firstLine="397"/>
        <w:jc w:val="both"/>
      </w:pPr>
      <w:r>
        <w:t>«8.8.1 На селитебных территориях и на прилегающих к ним производственных территориях предусматриваю</w:t>
      </w:r>
      <w:r>
        <w:t>т автостоянки для постоянного хранения не менее 90% расчетного числа индивидуальных легковых автомобилей, при пешеходной доступности не более 800 м, а в районах реконструкции или с неблагоприятной гидрогеологической обстановкой - не более 1500 м.</w:t>
      </w:r>
    </w:p>
    <w:p w:rsidR="00000000" w:rsidRDefault="00231369">
      <w:pPr>
        <w:ind w:firstLine="397"/>
        <w:jc w:val="both"/>
      </w:pPr>
      <w:r>
        <w:t>В предела</w:t>
      </w:r>
      <w:r>
        <w:t>х территорий жилой застройки также предусматривают открытые площадки для парковки легковых автомобилей, в соответствии с СП РК 3.02-101.»;</w:t>
      </w:r>
    </w:p>
    <w:p w:rsidR="00000000" w:rsidRDefault="00231369">
      <w:pPr>
        <w:ind w:firstLine="397"/>
        <w:jc w:val="both"/>
      </w:pPr>
      <w:bookmarkStart w:id="1" w:name="SUB13"/>
      <w:bookmarkEnd w:id="1"/>
      <w:r>
        <w:t>таблицу 13 - Норма обеспеченности парковочными местами в жилой застройке исключить;</w:t>
      </w:r>
    </w:p>
    <w:p w:rsidR="00000000" w:rsidRDefault="00231369">
      <w:pPr>
        <w:ind w:firstLine="397"/>
        <w:jc w:val="both"/>
      </w:pPr>
      <w:r>
        <w:t xml:space="preserve">в </w:t>
      </w:r>
      <w:hyperlink r:id="rId16" w:history="1">
        <w:r>
          <w:rPr>
            <w:rStyle w:val="a4"/>
          </w:rPr>
          <w:t>Своде правил</w:t>
        </w:r>
      </w:hyperlink>
      <w:r>
        <w:t xml:space="preserve"> Республики Казахстан СП РК 2.02-102-2012* «Пожарная автоматика зданий и сооружений»:</w:t>
      </w:r>
    </w:p>
    <w:p w:rsidR="00000000" w:rsidRDefault="00231369">
      <w:pPr>
        <w:ind w:firstLine="397"/>
        <w:jc w:val="both"/>
      </w:pPr>
      <w:r>
        <w:t xml:space="preserve">«*таблицу 5 - Группы помещений (производств и технологических процессов) по степени опасности развития пожара в зависимости </w:t>
      </w:r>
      <w:r>
        <w:t xml:space="preserve">от их функционального назначения и пожарной нагрузки (для Таблиц 2-4)» изложить в следующей редакции: </w:t>
      </w:r>
    </w:p>
    <w:p w:rsidR="00000000" w:rsidRDefault="00231369">
      <w:pPr>
        <w:ind w:firstLine="397"/>
        <w:jc w:val="both"/>
      </w:pPr>
      <w:r>
        <w:t>«</w:t>
      </w:r>
    </w:p>
    <w:tbl>
      <w:tblPr>
        <w:tblW w:w="497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6"/>
        <w:gridCol w:w="7752"/>
      </w:tblGrid>
      <w:tr w:rsidR="00000000">
        <w:tc>
          <w:tcPr>
            <w:tcW w:w="8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center"/>
            </w:pPr>
            <w:r>
              <w:t>Группа помещений</w:t>
            </w:r>
          </w:p>
        </w:tc>
        <w:tc>
          <w:tcPr>
            <w:tcW w:w="41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center"/>
            </w:pPr>
            <w:r>
              <w:t>Перечень характерных помещений, производств, технологических процессов</w:t>
            </w:r>
          </w:p>
        </w:tc>
      </w:tr>
      <w:tr w:rsidR="00000000">
        <w:tc>
          <w:tcPr>
            <w:tcW w:w="8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center"/>
            </w:pPr>
            <w:r>
              <w:t>1</w:t>
            </w:r>
          </w:p>
        </w:tc>
        <w:tc>
          <w:tcPr>
            <w:tcW w:w="41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both"/>
            </w:pPr>
            <w:r>
              <w:t>Помещения книгохранилищ, библиотек, цирков, хранения горючих музейных ценностей, фондохранилищ, музеев и выставок, картинных галерей, концертных залов, помещений вычислительной техники, магазинов, административных зданий, гостиниц, больниц</w:t>
            </w:r>
          </w:p>
        </w:tc>
      </w:tr>
      <w:tr w:rsidR="00000000">
        <w:tc>
          <w:tcPr>
            <w:tcW w:w="8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center"/>
            </w:pPr>
            <w:r>
              <w:t>2</w:t>
            </w:r>
          </w:p>
        </w:tc>
        <w:tc>
          <w:tcPr>
            <w:tcW w:w="41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both"/>
            </w:pPr>
            <w:r>
              <w:t>Помещения</w:t>
            </w:r>
            <w:r>
              <w:t xml:space="preserve"> деревообрабатывающего, текстильного, трикотажного, табачного, обувного, кожевенного, мехового, целлюлозно-бумажного и печатного производств; помещения окрасочных, малярных, смесеприготовительных, обезжиривания, консервации/расконсервации, промывки деталей</w:t>
            </w:r>
            <w:r>
              <w:t xml:space="preserve"> с применением легковоспламеняющихся жидкостей и горючих жидкостей; помещения для производства ваты, искусственных и пленочных материалов, швейной промышленности, производств с применением резинотехнических изделий, гаражей-стоянок, предприятий по обслужив</w:t>
            </w:r>
            <w:r>
              <w:t>анию автомобилей; помещения категории В3 по взрывопожарной и пожарной опасности (пожарная нагрузка 200... 1400 МДж/м</w:t>
            </w:r>
            <w:r>
              <w:rPr>
                <w:vertAlign w:val="superscript"/>
              </w:rPr>
              <w:t>2</w:t>
            </w:r>
            <w:r>
              <w:t>).</w:t>
            </w:r>
          </w:p>
        </w:tc>
      </w:tr>
    </w:tbl>
    <w:p w:rsidR="00000000" w:rsidRDefault="00231369">
      <w:pPr>
        <w:ind w:firstLine="397"/>
        <w:jc w:val="right"/>
      </w:pPr>
      <w:r>
        <w:t>»;</w:t>
      </w:r>
    </w:p>
    <w:p w:rsidR="00000000" w:rsidRDefault="00231369">
      <w:pPr>
        <w:ind w:firstLine="397"/>
        <w:jc w:val="both"/>
      </w:pPr>
      <w:r>
        <w:t>первую строку раздела Общественные здания и сооружения таблицы «П.1 - Выбор типов пожарных извещателей в зависимости от назначения за</w:t>
      </w:r>
      <w:r>
        <w:t>щищаемого помещения и вида пожарной нагрузки» изложить в следующей редакции:</w:t>
      </w:r>
    </w:p>
    <w:p w:rsidR="00000000" w:rsidRDefault="00231369">
      <w:pPr>
        <w:ind w:firstLine="397"/>
        <w:jc w:val="both"/>
      </w:pPr>
      <w:r>
        <w:t>«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72"/>
        <w:gridCol w:w="4163"/>
      </w:tblGrid>
      <w:tr w:rsidR="00000000">
        <w:tc>
          <w:tcPr>
            <w:tcW w:w="27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center"/>
            </w:pPr>
            <w:r>
              <w:t>Перечень характерных помещений различных типов зданий и сооружений</w:t>
            </w:r>
          </w:p>
        </w:tc>
        <w:tc>
          <w:tcPr>
            <w:tcW w:w="22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center"/>
            </w:pPr>
            <w:r>
              <w:t>Тип пожарного извещателя</w:t>
            </w:r>
          </w:p>
        </w:tc>
      </w:tr>
      <w:tr w:rsidR="00000000"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center"/>
            </w:pPr>
            <w:r>
              <w:t>Общественные здания и сооружения</w:t>
            </w:r>
          </w:p>
        </w:tc>
      </w:tr>
      <w:tr w:rsidR="00000000">
        <w:tc>
          <w:tcPr>
            <w:tcW w:w="27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both"/>
            </w:pPr>
            <w:r>
              <w:t>Больничные палаты, спальные помещения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both"/>
            </w:pPr>
            <w:r>
              <w:t>Дымовые пожарные извещатели со встроенными светозвуковыми сиренами</w:t>
            </w:r>
          </w:p>
        </w:tc>
      </w:tr>
      <w:tr w:rsidR="00000000">
        <w:tc>
          <w:tcPr>
            <w:tcW w:w="27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both"/>
            </w:pPr>
            <w:r>
              <w:t>Зрительные, репетиционные, кулуарные, книгохранилища, торговые залы, игральные помещения детских дошкольных учреждений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both"/>
            </w:pPr>
            <w:r>
              <w:t>Дымовой, газовый</w:t>
            </w:r>
          </w:p>
        </w:tc>
      </w:tr>
    </w:tbl>
    <w:p w:rsidR="00000000" w:rsidRDefault="00231369">
      <w:pPr>
        <w:ind w:firstLine="397"/>
        <w:jc w:val="right"/>
      </w:pPr>
      <w:r>
        <w:t>»;</w:t>
      </w:r>
    </w:p>
    <w:p w:rsidR="00000000" w:rsidRDefault="00231369">
      <w:pPr>
        <w:ind w:firstLine="397"/>
        <w:jc w:val="both"/>
      </w:pPr>
      <w:r>
        <w:t>третью строку раздела Общественные здания и сооружения таблицы «П.1 - Выбор типов пожарных извещателей в зависимости от назначения защищаемого помещения и вида пожарной нагрузки» изложить в следующей редакции:</w:t>
      </w:r>
    </w:p>
    <w:p w:rsidR="00000000" w:rsidRDefault="00231369">
      <w:pPr>
        <w:ind w:firstLine="397"/>
        <w:jc w:val="both"/>
      </w:pPr>
      <w:r>
        <w:t>«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61"/>
        <w:gridCol w:w="4174"/>
      </w:tblGrid>
      <w:tr w:rsidR="00000000">
        <w:tc>
          <w:tcPr>
            <w:tcW w:w="27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center"/>
            </w:pPr>
            <w:r>
              <w:t>Перечень характерных помещений различных типов зданий и сооружений</w:t>
            </w:r>
          </w:p>
        </w:tc>
        <w:tc>
          <w:tcPr>
            <w:tcW w:w="221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center"/>
            </w:pPr>
            <w:r>
              <w:t>Тип пожарного извещателя</w:t>
            </w:r>
          </w:p>
        </w:tc>
      </w:tr>
      <w:tr w:rsidR="00000000"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center"/>
            </w:pPr>
            <w:r>
              <w:t>Общественные здания и сооружения</w:t>
            </w:r>
          </w:p>
        </w:tc>
      </w:tr>
      <w:tr w:rsidR="00000000">
        <w:tc>
          <w:tcPr>
            <w:tcW w:w="27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both"/>
            </w:pPr>
            <w:r>
              <w:t>Помещения общественного питания</w:t>
            </w:r>
          </w:p>
        </w:tc>
        <w:tc>
          <w:tcPr>
            <w:tcW w:w="2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both"/>
            </w:pPr>
            <w:r>
              <w:t>Дымовой, газовый</w:t>
            </w:r>
          </w:p>
        </w:tc>
      </w:tr>
    </w:tbl>
    <w:p w:rsidR="00000000" w:rsidRDefault="00231369">
      <w:pPr>
        <w:ind w:firstLine="397"/>
        <w:jc w:val="right"/>
      </w:pPr>
      <w:r>
        <w:t>»;</w:t>
      </w:r>
    </w:p>
    <w:p w:rsidR="00000000" w:rsidRDefault="00231369">
      <w:pPr>
        <w:ind w:firstLine="397"/>
        <w:jc w:val="both"/>
      </w:pPr>
      <w:r>
        <w:t xml:space="preserve">в </w:t>
      </w:r>
      <w:hyperlink r:id="rId17" w:history="1">
        <w:r>
          <w:rPr>
            <w:rStyle w:val="a4"/>
          </w:rPr>
          <w:t>Своде правил</w:t>
        </w:r>
      </w:hyperlink>
      <w:r>
        <w:t xml:space="preserve"> Республики Казахстан СП РК 2.02-104-2014 «Оборудование зданий, помещений и сооружений системами автоматической пожарной сигнализации, автоматическими установками пожаротушения и оповещения людей о пожаре», утвержденным указанным приказом:</w:t>
      </w:r>
    </w:p>
    <w:p w:rsidR="00000000" w:rsidRDefault="00231369">
      <w:pPr>
        <w:ind w:firstLine="397"/>
        <w:jc w:val="both"/>
      </w:pPr>
      <w:r>
        <w:t>пунк</w:t>
      </w:r>
      <w:r>
        <w:t xml:space="preserve">т 3.4 таблицы Н.1 </w:t>
      </w:r>
      <w:hyperlink w:anchor="sub13" w:history="1">
        <w:r>
          <w:rPr>
            <w:rStyle w:val="a4"/>
          </w:rPr>
          <w:t xml:space="preserve">Приложения </w:t>
        </w:r>
        <w:r>
          <w:rPr>
            <w:rStyle w:val="a4"/>
            <w:lang w:val="fr-FR"/>
          </w:rPr>
          <w:t>H</w:t>
        </w:r>
      </w:hyperlink>
      <w:r>
        <w:t xml:space="preserve"> (обязательное) «Выбор типов пожарных оповещателей в зависимости от назначения защищаемого помещения и вида пожарной нагрузки» изложить в следующей редакции:</w:t>
      </w:r>
    </w:p>
    <w:p w:rsidR="00000000" w:rsidRDefault="00231369">
      <w:pPr>
        <w:ind w:firstLine="397"/>
        <w:jc w:val="both"/>
      </w:pPr>
      <w:r>
        <w:t>«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76"/>
        <w:gridCol w:w="4159"/>
      </w:tblGrid>
      <w:tr w:rsidR="00000000">
        <w:tc>
          <w:tcPr>
            <w:tcW w:w="27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center"/>
            </w:pPr>
            <w:r>
              <w:t>Перечень характерных помещений производств, технологических процессов</w:t>
            </w:r>
          </w:p>
        </w:tc>
        <w:tc>
          <w:tcPr>
            <w:tcW w:w="22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center"/>
            </w:pPr>
            <w:r>
              <w:t>Вид пожарного оповещателя</w:t>
            </w:r>
          </w:p>
        </w:tc>
      </w:tr>
      <w:tr w:rsidR="00000000">
        <w:tc>
          <w:tcPr>
            <w:tcW w:w="279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both"/>
            </w:pPr>
            <w:r>
              <w:t>3.4 Больничные палаты, жилые помещения гостиниц и общежитий</w:t>
            </w:r>
          </w:p>
        </w:tc>
        <w:tc>
          <w:tcPr>
            <w:tcW w:w="22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both"/>
            </w:pPr>
            <w:r>
              <w:t>Дымовые пожарные извещатели со встроенными светозвуковыми сиренами</w:t>
            </w:r>
          </w:p>
        </w:tc>
      </w:tr>
    </w:tbl>
    <w:p w:rsidR="00000000" w:rsidRDefault="00231369">
      <w:pPr>
        <w:ind w:firstLine="397"/>
        <w:jc w:val="right"/>
      </w:pPr>
      <w:r>
        <w:t>»;</w:t>
      </w:r>
    </w:p>
    <w:p w:rsidR="00000000" w:rsidRDefault="00231369">
      <w:pPr>
        <w:ind w:firstLine="397"/>
        <w:jc w:val="both"/>
      </w:pPr>
      <w:r>
        <w:t xml:space="preserve">таблицу Н.1 приложения </w:t>
      </w:r>
      <w:r>
        <w:rPr>
          <w:lang w:val="fr-FR"/>
        </w:rPr>
        <w:t xml:space="preserve">H </w:t>
      </w:r>
      <w:r>
        <w:t>(обязательное) «Выбор типов пожарных оповещателей в зависимости от назначения защищаемого помещения и вида пожарной нагрузки» дополнить пунктом 3.6 следующего содержания:</w:t>
      </w:r>
    </w:p>
    <w:p w:rsidR="00000000" w:rsidRDefault="00231369">
      <w:pPr>
        <w:ind w:firstLine="397"/>
        <w:jc w:val="both"/>
      </w:pPr>
      <w:r>
        <w:t>«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76"/>
        <w:gridCol w:w="4159"/>
      </w:tblGrid>
      <w:tr w:rsidR="00000000">
        <w:tc>
          <w:tcPr>
            <w:tcW w:w="27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center"/>
            </w:pPr>
            <w:r>
              <w:t>Перечень характерных помещений производств, технологических процессов</w:t>
            </w:r>
          </w:p>
        </w:tc>
        <w:tc>
          <w:tcPr>
            <w:tcW w:w="22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center"/>
            </w:pPr>
            <w:r>
              <w:t>Вид по</w:t>
            </w:r>
            <w:r>
              <w:t>жарного оповещателя</w:t>
            </w:r>
          </w:p>
        </w:tc>
      </w:tr>
      <w:tr w:rsidR="00000000">
        <w:tc>
          <w:tcPr>
            <w:tcW w:w="279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both"/>
            </w:pPr>
            <w:r>
              <w:t>3.6 Помещения предприятий торговли, служебные комнаты, а также помещения общественного питания за исключением помещений приготовлений пищи</w:t>
            </w:r>
          </w:p>
        </w:tc>
        <w:tc>
          <w:tcPr>
            <w:tcW w:w="22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both"/>
            </w:pPr>
            <w:r>
              <w:t>Дымовой</w:t>
            </w:r>
          </w:p>
        </w:tc>
      </w:tr>
    </w:tbl>
    <w:p w:rsidR="00000000" w:rsidRDefault="00231369">
      <w:pPr>
        <w:ind w:firstLine="397"/>
        <w:jc w:val="right"/>
      </w:pPr>
      <w:r>
        <w:t>»;</w:t>
      </w:r>
    </w:p>
    <w:p w:rsidR="00000000" w:rsidRDefault="00231369">
      <w:pPr>
        <w:ind w:firstLine="397"/>
        <w:jc w:val="both"/>
      </w:pPr>
      <w:r>
        <w:t xml:space="preserve">в </w:t>
      </w:r>
      <w:hyperlink r:id="rId18" w:history="1">
        <w:r>
          <w:rPr>
            <w:rStyle w:val="a4"/>
          </w:rPr>
          <w:t>Своде правил</w:t>
        </w:r>
      </w:hyperlink>
      <w:r>
        <w:t xml:space="preserve"> </w:t>
      </w:r>
      <w:r>
        <w:t>Республики Казахстан СП РК 3.02-106-2012 «Проектирование гостиниц», утвержденным указанным приказом:</w:t>
      </w:r>
    </w:p>
    <w:p w:rsidR="00000000" w:rsidRDefault="00231369">
      <w:pPr>
        <w:ind w:firstLine="397"/>
        <w:jc w:val="both"/>
      </w:pPr>
      <w:hyperlink r:id="rId19" w:anchor="sub_id=400" w:history="1">
        <w:r>
          <w:rPr>
            <w:rStyle w:val="a4"/>
          </w:rPr>
          <w:t>пункт 4.2.1.2</w:t>
        </w:r>
      </w:hyperlink>
      <w:r>
        <w:t xml:space="preserve"> изложить в следующей редакции:</w:t>
      </w:r>
    </w:p>
    <w:p w:rsidR="00000000" w:rsidRDefault="00231369">
      <w:pPr>
        <w:ind w:firstLine="397"/>
        <w:jc w:val="both"/>
      </w:pPr>
      <w:r>
        <w:t>«4.2.1.2 Системы пожарной без</w:t>
      </w:r>
      <w:r>
        <w:t>опасности должны включать, как минимум, следующее:</w:t>
      </w:r>
    </w:p>
    <w:p w:rsidR="00000000" w:rsidRDefault="00231369">
      <w:pPr>
        <w:ind w:firstLine="397"/>
        <w:jc w:val="both"/>
      </w:pPr>
      <w:r>
        <w:t>- детекторы дыма во всех основных комнатах;</w:t>
      </w:r>
    </w:p>
    <w:p w:rsidR="00000000" w:rsidRDefault="00231369">
      <w:pPr>
        <w:ind w:firstLine="397"/>
        <w:jc w:val="both"/>
      </w:pPr>
      <w:r>
        <w:t>- детекторы дыма в коридорах гостевых комнат, лестничных проемах и т.д.;</w:t>
      </w:r>
    </w:p>
    <w:p w:rsidR="00000000" w:rsidRDefault="00231369">
      <w:pPr>
        <w:ind w:firstLine="397"/>
        <w:jc w:val="both"/>
      </w:pPr>
      <w:r>
        <w:t xml:space="preserve">- дымовые пожарные извещатели со встроенными светозвуковыми сиренами в жилых помещениях </w:t>
      </w:r>
      <w:r>
        <w:t>(комнат) гостиниц;</w:t>
      </w:r>
    </w:p>
    <w:p w:rsidR="00000000" w:rsidRDefault="00231369">
      <w:pPr>
        <w:ind w:firstLine="397"/>
        <w:jc w:val="both"/>
      </w:pPr>
      <w:r>
        <w:t>- полное покрытие детекторами дыма общественных зон и хозяйственных помещений (сауны, парные);</w:t>
      </w:r>
    </w:p>
    <w:p w:rsidR="00000000" w:rsidRDefault="00231369">
      <w:pPr>
        <w:ind w:firstLine="397"/>
        <w:jc w:val="both"/>
      </w:pPr>
      <w:r>
        <w:t>- полное покрытие детекторами нагрева соответствующих мест (кухонь, комнат с растениями, саун, парных);</w:t>
      </w:r>
    </w:p>
    <w:p w:rsidR="00000000" w:rsidRDefault="00231369">
      <w:pPr>
        <w:ind w:firstLine="397"/>
        <w:jc w:val="both"/>
      </w:pPr>
      <w:r>
        <w:t>- панель пожарной сигнализации с синоп</w:t>
      </w:r>
      <w:r>
        <w:t>тическим дисплеем для гостевых комнат, общественных и хозяйственных помещений, буквенно-цифровой идентификационный дисплей, каротажную сигнализацию (записи показаний) и принтер протокола.»;</w:t>
      </w:r>
    </w:p>
    <w:p w:rsidR="00000000" w:rsidRDefault="00231369">
      <w:pPr>
        <w:ind w:firstLine="397"/>
        <w:jc w:val="both"/>
      </w:pPr>
      <w:r>
        <w:t xml:space="preserve">в </w:t>
      </w:r>
      <w:hyperlink r:id="rId20" w:history="1">
        <w:r>
          <w:rPr>
            <w:rStyle w:val="a4"/>
          </w:rPr>
          <w:t>Строительных нормах</w:t>
        </w:r>
      </w:hyperlink>
      <w:r>
        <w:t xml:space="preserve"> Республики Казахстан СН РК 4.03-01-2011 «Газораспределительные системы», утвержденным указанным приказом:</w:t>
      </w:r>
    </w:p>
    <w:p w:rsidR="00000000" w:rsidRDefault="00231369">
      <w:pPr>
        <w:ind w:firstLine="397"/>
        <w:jc w:val="both"/>
      </w:pPr>
      <w:hyperlink r:id="rId21" w:anchor="sub_id=700" w:history="1">
        <w:r>
          <w:rPr>
            <w:rStyle w:val="a4"/>
          </w:rPr>
          <w:t>пункт 7.7</w:t>
        </w:r>
      </w:hyperlink>
      <w:r>
        <w:t xml:space="preserve"> изложить в следующей редакции:</w:t>
      </w:r>
    </w:p>
    <w:p w:rsidR="00000000" w:rsidRDefault="00231369">
      <w:pPr>
        <w:ind w:firstLine="397"/>
        <w:jc w:val="both"/>
      </w:pPr>
      <w:r>
        <w:t>«7.7 По</w:t>
      </w:r>
      <w:r>
        <w:t>мещения зданий всех назначений (кроме жилых), в которых устанавливается газоиспользующее оборудование, работающее в автоматическом режиме, должны быть оснащены системами контроля загазованности и обеспечения пожарной безопасности (датчик загазованности, по</w:t>
      </w:r>
      <w:r>
        <w:t>жарный извещатель и электромагнитный клапан) с автоматическим отключением подачи газа и выводом сигналов на диспетчерский пункт или в помещение с постоянным присутствием персонала, если другие требования не регламентированы соответствующими нормативными до</w:t>
      </w:r>
      <w:r>
        <w:t>кументами.</w:t>
      </w:r>
    </w:p>
    <w:p w:rsidR="00000000" w:rsidRDefault="00231369">
      <w:pPr>
        <w:ind w:firstLine="397"/>
        <w:jc w:val="both"/>
      </w:pPr>
      <w:r>
        <w:t>В газифицированных помещениях жилых зданий (квартир) предусматривается оснащение системами контроля загазованности и обеспечения пожарной безопасности с автоматическим отключением подачи газа при превышении допустимого уровня концентрации исполь</w:t>
      </w:r>
      <w:r>
        <w:t>зуемого (природного, сжиженного) газа.».</w:t>
      </w:r>
    </w:p>
    <w:p w:rsidR="00000000" w:rsidRDefault="00231369">
      <w:pPr>
        <w:ind w:firstLine="397"/>
        <w:jc w:val="both"/>
      </w:pPr>
      <w:r>
        <w:t xml:space="preserve">2. Внести в </w:t>
      </w:r>
      <w:hyperlink r:id="rId22" w:history="1">
        <w:r>
          <w:rPr>
            <w:rStyle w:val="a4"/>
          </w:rPr>
          <w:t>приказ</w:t>
        </w:r>
      </w:hyperlink>
      <w:r>
        <w:t xml:space="preserve"> Председателя Комитета по делам строительства Министерства индустрии и торговли Республики Казахстан от 17 января 2003 года № 11 сле</w:t>
      </w:r>
      <w:r>
        <w:t>дующие изменения:</w:t>
      </w:r>
    </w:p>
    <w:p w:rsidR="00000000" w:rsidRDefault="00231369">
      <w:pPr>
        <w:ind w:firstLine="397"/>
        <w:jc w:val="both"/>
      </w:pPr>
      <w:r>
        <w:t xml:space="preserve">в </w:t>
      </w:r>
      <w:hyperlink r:id="rId23" w:history="1">
        <w:r>
          <w:rPr>
            <w:rStyle w:val="a4"/>
          </w:rPr>
          <w:t>Строительных нормах</w:t>
        </w:r>
      </w:hyperlink>
      <w:r>
        <w:t xml:space="preserve"> Республики Казахстан 2.02-11-2002* «Нормы оборудования зданий, помещений и сооружений системами автоматической пожарной сигнализации, автоматическими у</w:t>
      </w:r>
      <w:r>
        <w:t>становками пожаротушения и оповещения людей о пожаре», утвержденным указанным приказом:</w:t>
      </w:r>
    </w:p>
    <w:p w:rsidR="00000000" w:rsidRDefault="00231369">
      <w:pPr>
        <w:ind w:firstLine="397"/>
        <w:jc w:val="both"/>
      </w:pPr>
      <w:hyperlink r:id="rId24" w:anchor="sub_id=300" w:history="1">
        <w:r>
          <w:rPr>
            <w:rStyle w:val="a4"/>
          </w:rPr>
          <w:t>пункт 3.1</w:t>
        </w:r>
      </w:hyperlink>
      <w:r>
        <w:t xml:space="preserve"> </w:t>
      </w:r>
      <w:r>
        <w:t xml:space="preserve">таблицы 8* 3 «Перечня помещений жилых зданий и общежитий, которые должны быть оборудованы автоматической пожарной сигнализацией и автоматическими установками пожаротушения» изложить в следующей редакции: </w:t>
      </w:r>
    </w:p>
    <w:p w:rsidR="00000000" w:rsidRDefault="00231369">
      <w:pPr>
        <w:ind w:firstLine="397"/>
        <w:jc w:val="both"/>
      </w:pPr>
      <w:r>
        <w:t>«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3"/>
        <w:gridCol w:w="4980"/>
        <w:gridCol w:w="2432"/>
      </w:tblGrid>
      <w:tr w:rsidR="00000000">
        <w:tc>
          <w:tcPr>
            <w:tcW w:w="107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center"/>
            </w:pPr>
            <w:r>
              <w:t>Назначение зданий</w:t>
            </w:r>
          </w:p>
        </w:tc>
        <w:tc>
          <w:tcPr>
            <w:tcW w:w="26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center"/>
            </w:pPr>
            <w:r>
              <w:t>Автоматическая пожарная си</w:t>
            </w:r>
            <w:r>
              <w:t>гнализация</w:t>
            </w:r>
          </w:p>
        </w:tc>
        <w:tc>
          <w:tcPr>
            <w:tcW w:w="1289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center"/>
            </w:pPr>
            <w:r>
              <w:t>Автоматические установки пожаротушения</w:t>
            </w:r>
          </w:p>
        </w:tc>
      </w:tr>
      <w:tr w:rsidR="00000000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0000" w:rsidRDefault="00231369"/>
        </w:tc>
        <w:tc>
          <w:tcPr>
            <w:tcW w:w="26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center"/>
            </w:pPr>
            <w:r>
              <w:t>Помещения и нормативы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0000" w:rsidRDefault="00231369"/>
        </w:tc>
      </w:tr>
      <w:tr w:rsidR="00000000">
        <w:tc>
          <w:tcPr>
            <w:tcW w:w="10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both"/>
            </w:pPr>
            <w:r>
              <w:t>3.1 Общежития</w:t>
            </w:r>
          </w:p>
        </w:tc>
        <w:tc>
          <w:tcPr>
            <w:tcW w:w="26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both"/>
            </w:pPr>
            <w:r>
              <w:t xml:space="preserve">Во всех помещениях, независимо от площади и этажности. </w:t>
            </w:r>
          </w:p>
          <w:p w:rsidR="00000000" w:rsidRDefault="00231369">
            <w:pPr>
              <w:jc w:val="both"/>
            </w:pPr>
            <w:r>
              <w:t>В жилых помещениях необходимо устанавливать дымовые пожарные извещатели со встроенными светозвуковыми сиренами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both"/>
            </w:pPr>
            <w:r>
              <w:t> </w:t>
            </w:r>
          </w:p>
        </w:tc>
      </w:tr>
    </w:tbl>
    <w:p w:rsidR="00000000" w:rsidRDefault="00231369">
      <w:pPr>
        <w:ind w:firstLine="397"/>
        <w:jc w:val="right"/>
      </w:pPr>
      <w:r>
        <w:t>»;</w:t>
      </w:r>
    </w:p>
    <w:p w:rsidR="00000000" w:rsidRDefault="00231369">
      <w:pPr>
        <w:ind w:firstLine="397"/>
        <w:jc w:val="both"/>
      </w:pPr>
      <w:r>
        <w:t>пункт 3.2 таблицы 8* 3 «Перечня помещений жилых зданий и общежитий, которые должны быть оборудованы автоматической пожарной сигнализацией и</w:t>
      </w:r>
      <w:r>
        <w:t xml:space="preserve"> автоматическими установками пожаротушения» исключить;</w:t>
      </w:r>
    </w:p>
    <w:p w:rsidR="00000000" w:rsidRDefault="00231369">
      <w:pPr>
        <w:ind w:firstLine="397"/>
        <w:jc w:val="both"/>
      </w:pPr>
      <w:r>
        <w:t>пункт 3.3* таблицы 8* 3 «Перечня помещений жилых зданий и общежитий, которые должны быть оборудованы автоматической пожарной сигнализацией и автоматическими установками пожаротушения» изложить в следую</w:t>
      </w:r>
      <w:r>
        <w:t xml:space="preserve">щей редакции: </w:t>
      </w:r>
    </w:p>
    <w:p w:rsidR="00000000" w:rsidRDefault="00231369">
      <w:pPr>
        <w:ind w:firstLine="397"/>
        <w:jc w:val="both"/>
      </w:pPr>
      <w:r>
        <w:t>«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2"/>
        <w:gridCol w:w="4961"/>
        <w:gridCol w:w="2442"/>
      </w:tblGrid>
      <w:tr w:rsidR="00000000">
        <w:tc>
          <w:tcPr>
            <w:tcW w:w="107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center"/>
            </w:pPr>
            <w:r>
              <w:t>Назначение зданий</w:t>
            </w:r>
          </w:p>
        </w:tc>
        <w:tc>
          <w:tcPr>
            <w:tcW w:w="26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center"/>
            </w:pPr>
            <w:r>
              <w:t>Автоматическая пожарная сигнализация</w:t>
            </w:r>
          </w:p>
        </w:tc>
        <w:tc>
          <w:tcPr>
            <w:tcW w:w="1294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center"/>
            </w:pPr>
            <w:r>
              <w:t>Автоматические установки пожаротушения</w:t>
            </w:r>
          </w:p>
        </w:tc>
      </w:tr>
      <w:tr w:rsidR="00000000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0000" w:rsidRDefault="00231369"/>
        </w:tc>
        <w:tc>
          <w:tcPr>
            <w:tcW w:w="2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center"/>
            </w:pPr>
            <w:r>
              <w:t>Помещения и нормативы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0000" w:rsidRDefault="00231369"/>
        </w:tc>
      </w:tr>
      <w:tr w:rsidR="00000000">
        <w:tc>
          <w:tcPr>
            <w:tcW w:w="10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both"/>
            </w:pPr>
            <w:r>
              <w:t>3.3* Жилые многоквартирные дома</w:t>
            </w:r>
          </w:p>
        </w:tc>
        <w:tc>
          <w:tcPr>
            <w:tcW w:w="2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both"/>
            </w:pPr>
            <w:r>
              <w:t>Во всех прихожих квартир и жилых комнатах независимо от площади и этажности здания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both"/>
            </w:pPr>
            <w:r>
              <w:t> </w:t>
            </w:r>
          </w:p>
        </w:tc>
      </w:tr>
    </w:tbl>
    <w:p w:rsidR="00000000" w:rsidRDefault="00231369">
      <w:pPr>
        <w:ind w:firstLine="397"/>
        <w:jc w:val="right"/>
      </w:pPr>
      <w:r>
        <w:t>»;</w:t>
      </w:r>
    </w:p>
    <w:p w:rsidR="00000000" w:rsidRDefault="00231369">
      <w:pPr>
        <w:ind w:firstLine="397"/>
        <w:jc w:val="both"/>
      </w:pPr>
      <w:r>
        <w:t xml:space="preserve">пункты 13* и 14* </w:t>
      </w:r>
      <w:hyperlink r:id="rId25" w:anchor="sub_id=1" w:history="1">
        <w:r>
          <w:rPr>
            <w:rStyle w:val="a4"/>
          </w:rPr>
          <w:t>таблицы</w:t>
        </w:r>
      </w:hyperlink>
      <w:r>
        <w:t xml:space="preserve"> «А2* - Выбор автоматических пожарных извещателей в зависимости </w:t>
      </w:r>
      <w:r>
        <w:t>от назначения помещения» изложить в следующей редакции:</w:t>
      </w:r>
    </w:p>
    <w:p w:rsidR="00000000" w:rsidRDefault="00231369">
      <w:pPr>
        <w:ind w:firstLine="397"/>
        <w:jc w:val="both"/>
      </w:pPr>
      <w:r>
        <w:t>«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5"/>
        <w:gridCol w:w="3648"/>
        <w:gridCol w:w="4972"/>
      </w:tblGrid>
      <w:tr w:rsidR="00000000">
        <w:tc>
          <w:tcPr>
            <w:tcW w:w="4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center"/>
            </w:pPr>
            <w:r>
              <w:t>№ п/п</w:t>
            </w:r>
          </w:p>
        </w:tc>
        <w:tc>
          <w:tcPr>
            <w:tcW w:w="19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center"/>
            </w:pPr>
            <w:r>
              <w:t>Автоматический пожарный извещатель</w:t>
            </w:r>
          </w:p>
        </w:tc>
        <w:tc>
          <w:tcPr>
            <w:tcW w:w="263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center"/>
            </w:pPr>
            <w:r>
              <w:t>Перечень характерных помещений, производств, технологических процессов</w:t>
            </w:r>
          </w:p>
        </w:tc>
      </w:tr>
      <w:tr w:rsidR="00000000"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center"/>
            </w:pPr>
            <w:r>
              <w:t>13*</w:t>
            </w:r>
          </w:p>
        </w:tc>
        <w:tc>
          <w:tcPr>
            <w:tcW w:w="19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both"/>
            </w:pPr>
            <w:r>
              <w:t>Дымовой</w:t>
            </w:r>
          </w:p>
        </w:tc>
        <w:tc>
          <w:tcPr>
            <w:tcW w:w="2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both"/>
            </w:pPr>
            <w:r>
              <w:t>Помещения общественного питания за исключением помещений приготовлений пищи</w:t>
            </w:r>
          </w:p>
        </w:tc>
      </w:tr>
      <w:tr w:rsidR="00000000"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center"/>
            </w:pPr>
            <w:r>
              <w:t>14*</w:t>
            </w:r>
          </w:p>
        </w:tc>
        <w:tc>
          <w:tcPr>
            <w:tcW w:w="19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both"/>
            </w:pPr>
            <w:r>
              <w:t>Дымовые пожарные извещатели со встроенными светозвуковыми сиренами</w:t>
            </w:r>
          </w:p>
        </w:tc>
        <w:tc>
          <w:tcPr>
            <w:tcW w:w="2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both"/>
            </w:pPr>
            <w:r>
              <w:t>Жилые помещения, больничные палаты,</w:t>
            </w:r>
          </w:p>
          <w:p w:rsidR="00000000" w:rsidRDefault="00231369">
            <w:pPr>
              <w:jc w:val="both"/>
            </w:pPr>
            <w:r>
              <w:rPr>
                <w:rStyle w:val="s3"/>
              </w:rPr>
              <w:t>Текст соответствует оригиналу</w:t>
            </w:r>
          </w:p>
        </w:tc>
      </w:tr>
    </w:tbl>
    <w:p w:rsidR="00000000" w:rsidRDefault="00231369">
      <w:pPr>
        <w:ind w:firstLine="397"/>
        <w:jc w:val="right"/>
      </w:pPr>
      <w:r>
        <w:t>»;</w:t>
      </w:r>
    </w:p>
    <w:p w:rsidR="00000000" w:rsidRDefault="00231369">
      <w:pPr>
        <w:ind w:firstLine="397"/>
        <w:jc w:val="both"/>
      </w:pPr>
      <w:r>
        <w:t>таблицу «А2* Выбор автоматических</w:t>
      </w:r>
      <w:r>
        <w:t xml:space="preserve"> пожарных извещателей в зависимости от назначения помещения» дополнить пунктом 15* следующего содержания:</w:t>
      </w:r>
    </w:p>
    <w:p w:rsidR="00000000" w:rsidRDefault="00231369">
      <w:pPr>
        <w:ind w:firstLine="397"/>
        <w:jc w:val="both"/>
      </w:pPr>
      <w:r>
        <w:t>«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5"/>
        <w:gridCol w:w="3636"/>
        <w:gridCol w:w="4984"/>
      </w:tblGrid>
      <w:tr w:rsidR="00000000">
        <w:tc>
          <w:tcPr>
            <w:tcW w:w="4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center"/>
            </w:pPr>
            <w:r>
              <w:t>№ п/п</w:t>
            </w:r>
          </w:p>
        </w:tc>
        <w:tc>
          <w:tcPr>
            <w:tcW w:w="192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center"/>
            </w:pPr>
            <w:r>
              <w:t>Автоматический пожарный извещатель</w:t>
            </w:r>
          </w:p>
        </w:tc>
        <w:tc>
          <w:tcPr>
            <w:tcW w:w="26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center"/>
            </w:pPr>
            <w:r>
              <w:t>Перечень характерных помещений, производств, технологических процессов</w:t>
            </w:r>
          </w:p>
        </w:tc>
      </w:tr>
      <w:tr w:rsidR="00000000"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center"/>
            </w:pPr>
            <w:r>
              <w:t>15*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both"/>
            </w:pPr>
            <w:r>
              <w:t>Дымовой или световой</w:t>
            </w:r>
          </w:p>
        </w:tc>
        <w:tc>
          <w:tcPr>
            <w:tcW w:w="2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00000" w:rsidRDefault="00231369">
            <w:pPr>
              <w:jc w:val="both"/>
            </w:pPr>
            <w:r>
              <w:t>Помещения музеев и выставок</w:t>
            </w:r>
          </w:p>
        </w:tc>
      </w:tr>
    </w:tbl>
    <w:p w:rsidR="00000000" w:rsidRDefault="00231369">
      <w:pPr>
        <w:ind w:firstLine="397"/>
        <w:jc w:val="right"/>
      </w:pPr>
      <w:r>
        <w:t>».</w:t>
      </w:r>
    </w:p>
    <w:p w:rsidR="00000000" w:rsidRDefault="00231369">
      <w:pPr>
        <w:ind w:firstLine="397"/>
        <w:jc w:val="both"/>
      </w:pPr>
      <w:r>
        <w:t xml:space="preserve">3. Внести в </w:t>
      </w:r>
      <w:hyperlink r:id="rId26" w:history="1">
        <w:r>
          <w:rPr>
            <w:rStyle w:val="a4"/>
          </w:rPr>
          <w:t>приказ</w:t>
        </w:r>
      </w:hyperlink>
      <w:r>
        <w:t xml:space="preserve"> Председателя Комитета по делам строительства Министерства индустрии и торговли Республики Казахстан от 3 декабря 2007 г</w:t>
      </w:r>
      <w:r>
        <w:t>ода № 426 «Об утверждении государственного норматива СНиП РК 3.01-01 Ас-2007 «Планировка и застройка города Астаны» следующее изменение:</w:t>
      </w:r>
    </w:p>
    <w:p w:rsidR="00000000" w:rsidRDefault="00231369">
      <w:pPr>
        <w:ind w:firstLine="397"/>
        <w:jc w:val="both"/>
      </w:pPr>
      <w:r>
        <w:t xml:space="preserve">в </w:t>
      </w:r>
      <w:hyperlink r:id="rId27" w:history="1">
        <w:r>
          <w:rPr>
            <w:rStyle w:val="a4"/>
          </w:rPr>
          <w:t>Строительных нормах и правил</w:t>
        </w:r>
      </w:hyperlink>
      <w:r>
        <w:t xml:space="preserve"> Республики Казахстан 3.</w:t>
      </w:r>
      <w:r>
        <w:t>01-01Ас-2007 «Планировка и застройка города Астаны», утвержденным указанным приказом:</w:t>
      </w:r>
    </w:p>
    <w:p w:rsidR="00000000" w:rsidRDefault="00231369">
      <w:pPr>
        <w:ind w:firstLine="397"/>
        <w:jc w:val="both"/>
      </w:pPr>
      <w:hyperlink r:id="rId28" w:anchor="sub_id=130303" w:history="1">
        <w:r>
          <w:rPr>
            <w:rStyle w:val="a4"/>
          </w:rPr>
          <w:t>пункт 13.3.3*</w:t>
        </w:r>
      </w:hyperlink>
      <w:r>
        <w:t xml:space="preserve"> исключить;</w:t>
      </w:r>
    </w:p>
    <w:p w:rsidR="00000000" w:rsidRDefault="00231369">
      <w:pPr>
        <w:ind w:firstLine="397"/>
        <w:jc w:val="both"/>
      </w:pPr>
      <w:hyperlink r:id="rId29" w:anchor="sub_id=1324" w:history="1">
        <w:r>
          <w:rPr>
            <w:rStyle w:val="a4"/>
          </w:rPr>
          <w:t>таблицу</w:t>
        </w:r>
      </w:hyperlink>
      <w:r>
        <w:t xml:space="preserve"> «13.24* - Норма обеспеченности парковочными местами в жилой застройке» исключить. </w:t>
      </w:r>
    </w:p>
    <w:p w:rsidR="00000000" w:rsidRDefault="00231369">
      <w:pPr>
        <w:ind w:firstLine="397"/>
        <w:jc w:val="both"/>
      </w:pPr>
      <w:r>
        <w:t>4. Управлению технического регулирования и нормирования Комитета по</w:t>
      </w:r>
      <w:r>
        <w:rPr>
          <w:b/>
          <w:bCs/>
        </w:rPr>
        <w:t xml:space="preserve"> </w:t>
      </w:r>
      <w:r>
        <w:t>делам строитель</w:t>
      </w:r>
      <w:r>
        <w:t>ства и жилищно-коммунального хозяйства Министерства индустрии и инфраструктурного развития Республики Казахстан обеспечить:</w:t>
      </w:r>
    </w:p>
    <w:p w:rsidR="00000000" w:rsidRDefault="00231369">
      <w:pPr>
        <w:ind w:firstLine="397"/>
        <w:jc w:val="both"/>
      </w:pPr>
      <w:r>
        <w:t>1) размещение настоящего приказа на официальном интернет-ресурсе Комитета по делам строительства и жилищно-коммунального хозяйства М</w:t>
      </w:r>
      <w:r>
        <w:t>инистерства индустрии и инфраструктурного развития Республики Казахстан;</w:t>
      </w:r>
    </w:p>
    <w:p w:rsidR="00000000" w:rsidRDefault="00231369">
      <w:pPr>
        <w:ind w:firstLine="397"/>
        <w:jc w:val="both"/>
      </w:pPr>
      <w:r>
        <w:t>2) публикацию настоящего приказа в установленном порядке в отраслевых средствах массовой информации.</w:t>
      </w:r>
    </w:p>
    <w:p w:rsidR="00000000" w:rsidRDefault="00231369">
      <w:pPr>
        <w:ind w:firstLine="397"/>
        <w:jc w:val="both"/>
      </w:pPr>
      <w:r>
        <w:t>5. Контроль за исполнением настоящего приказа возложить на курирующего заместителя</w:t>
      </w:r>
      <w:r>
        <w:t xml:space="preserve"> Председателя Комитета по делам строительства и жилищно-коммунального хозяйства Министерства индустрии и инфраструктурного развития Республики Казахстан.</w:t>
      </w:r>
    </w:p>
    <w:p w:rsidR="00000000" w:rsidRDefault="00231369">
      <w:pPr>
        <w:ind w:firstLine="397"/>
        <w:jc w:val="both"/>
      </w:pPr>
      <w:r>
        <w:t>6. Настоящий приказ вводится в действие со дня его подписания.</w:t>
      </w:r>
    </w:p>
    <w:p w:rsidR="00000000" w:rsidRDefault="00231369">
      <w:pPr>
        <w:ind w:firstLine="397"/>
        <w:jc w:val="both"/>
      </w:pPr>
      <w:r>
        <w:rPr>
          <w:b/>
          <w:bCs/>
        </w:rPr>
        <w:t> </w:t>
      </w:r>
    </w:p>
    <w:p w:rsidR="00000000" w:rsidRDefault="00231369">
      <w:pPr>
        <w:ind w:firstLine="397"/>
        <w:jc w:val="both"/>
      </w:pPr>
      <w:r>
        <w:rPr>
          <w:b/>
          <w:bCs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 w:rsidR="00000000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231369">
            <w:r>
              <w:rPr>
                <w:b/>
                <w:bCs/>
              </w:rPr>
              <w:t>Председатель Комитета по делам с</w:t>
            </w:r>
            <w:r>
              <w:rPr>
                <w:b/>
                <w:bCs/>
              </w:rPr>
              <w:t xml:space="preserve">троительства </w:t>
            </w:r>
          </w:p>
          <w:p w:rsidR="00000000" w:rsidRDefault="00231369">
            <w:r>
              <w:rPr>
                <w:b/>
                <w:bCs/>
              </w:rPr>
              <w:t xml:space="preserve">и жилищно-коммунального хозяйства </w:t>
            </w:r>
          </w:p>
          <w:p w:rsidR="00000000" w:rsidRDefault="00231369">
            <w:r>
              <w:rPr>
                <w:b/>
                <w:bCs/>
              </w:rPr>
              <w:t xml:space="preserve">Министерства индустрии и инфраструктурного </w:t>
            </w:r>
          </w:p>
          <w:p w:rsidR="00000000" w:rsidRDefault="00231369">
            <w:r>
              <w:rPr>
                <w:b/>
                <w:bCs/>
              </w:rPr>
              <w:t>развития Республики Казахстан</w:t>
            </w: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231369">
            <w:pPr>
              <w:jc w:val="right"/>
            </w:pPr>
            <w:r>
              <w:rPr>
                <w:b/>
                <w:bCs/>
              </w:rPr>
              <w:t> </w:t>
            </w:r>
          </w:p>
          <w:p w:rsidR="00000000" w:rsidRDefault="00231369">
            <w:pPr>
              <w:jc w:val="right"/>
            </w:pPr>
            <w:r>
              <w:rPr>
                <w:b/>
                <w:bCs/>
              </w:rPr>
              <w:t> </w:t>
            </w:r>
          </w:p>
          <w:p w:rsidR="00000000" w:rsidRDefault="00231369">
            <w:pPr>
              <w:jc w:val="right"/>
            </w:pPr>
            <w:r>
              <w:rPr>
                <w:b/>
                <w:bCs/>
              </w:rPr>
              <w:t> </w:t>
            </w:r>
          </w:p>
          <w:p w:rsidR="00000000" w:rsidRDefault="00231369">
            <w:pPr>
              <w:jc w:val="right"/>
            </w:pPr>
            <w:r>
              <w:rPr>
                <w:b/>
                <w:bCs/>
              </w:rPr>
              <w:t>Т. Карагойшин</w:t>
            </w:r>
          </w:p>
        </w:tc>
      </w:tr>
    </w:tbl>
    <w:p w:rsidR="00000000" w:rsidRDefault="00231369">
      <w:pPr>
        <w:ind w:firstLine="397"/>
        <w:jc w:val="both"/>
      </w:pPr>
      <w:r>
        <w:rPr>
          <w:b/>
          <w:bCs/>
        </w:rPr>
        <w:t> </w:t>
      </w:r>
    </w:p>
    <w:p w:rsidR="00000000" w:rsidRDefault="00231369">
      <w:pPr>
        <w:ind w:firstLine="397"/>
        <w:jc w:val="both"/>
      </w:pPr>
      <w:r>
        <w:t> </w:t>
      </w:r>
    </w:p>
    <w:sectPr w:rsidR="00000000"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369" w:rsidRDefault="00231369" w:rsidP="00231369">
      <w:r>
        <w:separator/>
      </w:r>
    </w:p>
  </w:endnote>
  <w:endnote w:type="continuationSeparator" w:id="0">
    <w:p w:rsidR="00231369" w:rsidRDefault="00231369" w:rsidP="00231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369" w:rsidRDefault="0023136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369" w:rsidRDefault="00231369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369" w:rsidRDefault="0023136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369" w:rsidRDefault="00231369" w:rsidP="00231369">
      <w:r>
        <w:separator/>
      </w:r>
    </w:p>
  </w:footnote>
  <w:footnote w:type="continuationSeparator" w:id="0">
    <w:p w:rsidR="00231369" w:rsidRDefault="00231369" w:rsidP="002313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369" w:rsidRDefault="0023136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369" w:rsidRDefault="00231369" w:rsidP="00231369">
    <w:pPr>
      <w:pStyle w:val="a6"/>
      <w:spacing w:after="100"/>
      <w:jc w:val="right"/>
      <w:rPr>
        <w:rFonts w:ascii="Arial" w:hAnsi="Arial" w:cs="Arial"/>
        <w:color w:val="808080"/>
        <w:sz w:val="20"/>
      </w:rPr>
    </w:pPr>
    <w:r>
      <w:rPr>
        <w:rFonts w:ascii="Arial" w:hAnsi="Arial" w:cs="Arial"/>
        <w:color w:val="808080"/>
        <w:sz w:val="20"/>
      </w:rPr>
      <w:t>Источник: Информационная система "ПАРАГРАФ"</w:t>
    </w:r>
  </w:p>
  <w:p w:rsidR="00231369" w:rsidRDefault="00231369" w:rsidP="00231369">
    <w:pPr>
      <w:pStyle w:val="a6"/>
      <w:spacing w:after="100"/>
      <w:jc w:val="right"/>
      <w:rPr>
        <w:rFonts w:ascii="Arial" w:hAnsi="Arial" w:cs="Arial"/>
        <w:color w:val="808080"/>
        <w:sz w:val="20"/>
      </w:rPr>
    </w:pPr>
    <w:r>
      <w:rPr>
        <w:rFonts w:ascii="Arial" w:hAnsi="Arial" w:cs="Arial"/>
        <w:color w:val="808080"/>
        <w:sz w:val="20"/>
      </w:rPr>
      <w:t>Документ: Приказ Председателя Комитета по делам строительства и жилищно-коммунального хозяйства Министерства индустрии и инфраструктурного развития Республики Казахстан от 27 апреля 2021 года № 54-НҚ «О внесении изменений и дополнений в некоторые приказы»</w:t>
    </w:r>
  </w:p>
  <w:p w:rsidR="00231369" w:rsidRPr="00231369" w:rsidRDefault="00231369" w:rsidP="00231369">
    <w:pPr>
      <w:pStyle w:val="a6"/>
      <w:spacing w:after="100"/>
      <w:jc w:val="right"/>
      <w:rPr>
        <w:rFonts w:ascii="Arial" w:hAnsi="Arial" w:cs="Arial"/>
        <w:color w:val="808080"/>
        <w:sz w:val="20"/>
      </w:rPr>
    </w:pPr>
    <w:r>
      <w:rPr>
        <w:rFonts w:ascii="Arial" w:hAnsi="Arial" w:cs="Arial"/>
        <w:color w:val="808080"/>
        <w:sz w:val="20"/>
      </w:rPr>
      <w:t>Статус документа: действующий. Дата: 27.04.2021 г.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369" w:rsidRDefault="0023136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231369"/>
    <w:rsid w:val="00231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Pr>
      <w:color w:val="auto"/>
    </w:rPr>
  </w:style>
  <w:style w:type="character" w:customStyle="1" w:styleId="s3">
    <w:name w:val="s3"/>
    <w:basedOn w:val="a0"/>
    <w:rPr>
      <w:rFonts w:ascii="Times New Roman" w:hAnsi="Times New Roman" w:cs="Times New Roman" w:hint="default"/>
      <w:b w:val="0"/>
      <w:bCs w:val="0"/>
      <w:i/>
      <w:iCs/>
      <w:color w:val="FF0000"/>
    </w:rPr>
  </w:style>
  <w:style w:type="character" w:customStyle="1" w:styleId="s2">
    <w:name w:val="s2"/>
    <w:basedOn w:val="a0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basedOn w:val="a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Pr>
      <w:rFonts w:ascii="Times New Roman" w:hAnsi="Times New Roman" w:cs="Times New Roman" w:hint="default"/>
      <w:b/>
      <w:bCs/>
      <w:color w:val="000000"/>
    </w:r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paragraph" w:styleId="a6">
    <w:name w:val="header"/>
    <w:basedOn w:val="a"/>
    <w:link w:val="a7"/>
    <w:uiPriority w:val="99"/>
    <w:unhideWhenUsed/>
    <w:rsid w:val="0023136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31369"/>
    <w:rPr>
      <w:rFonts w:eastAsiaTheme="minorEastAsia"/>
      <w:color w:val="00000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23136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31369"/>
    <w:rPr>
      <w:rFonts w:eastAsiaTheme="minorEastAsi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Pr>
      <w:color w:val="auto"/>
    </w:rPr>
  </w:style>
  <w:style w:type="character" w:customStyle="1" w:styleId="s3">
    <w:name w:val="s3"/>
    <w:basedOn w:val="a0"/>
    <w:rPr>
      <w:rFonts w:ascii="Times New Roman" w:hAnsi="Times New Roman" w:cs="Times New Roman" w:hint="default"/>
      <w:b w:val="0"/>
      <w:bCs w:val="0"/>
      <w:i/>
      <w:iCs/>
      <w:color w:val="FF0000"/>
    </w:rPr>
  </w:style>
  <w:style w:type="character" w:customStyle="1" w:styleId="s2">
    <w:name w:val="s2"/>
    <w:basedOn w:val="a0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basedOn w:val="a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Pr>
      <w:rFonts w:ascii="Times New Roman" w:hAnsi="Times New Roman" w:cs="Times New Roman" w:hint="default"/>
      <w:b/>
      <w:bCs/>
      <w:color w:val="000000"/>
    </w:r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paragraph" w:styleId="a6">
    <w:name w:val="header"/>
    <w:basedOn w:val="a"/>
    <w:link w:val="a7"/>
    <w:uiPriority w:val="99"/>
    <w:unhideWhenUsed/>
    <w:rsid w:val="0023136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31369"/>
    <w:rPr>
      <w:rFonts w:eastAsiaTheme="minorEastAsia"/>
      <w:color w:val="00000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23136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31369"/>
    <w:rPr>
      <w:rFonts w:eastAsiaTheme="minorEastAs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online.zakon.kz/Document/?doc_id=34266555" TargetMode="External"/><Relationship Id="rId18" Type="http://schemas.openxmlformats.org/officeDocument/2006/relationships/hyperlink" Target="http://online.zakon.kz/Document/?doc_id=38944815" TargetMode="External"/><Relationship Id="rId26" Type="http://schemas.openxmlformats.org/officeDocument/2006/relationships/hyperlink" Target="http://online.zakon.kz/Document/?doc_id=30208737" TargetMode="External"/><Relationship Id="rId21" Type="http://schemas.openxmlformats.org/officeDocument/2006/relationships/hyperlink" Target="http://online.zakon.kz/Document/?doc_id=32587838" TargetMode="External"/><Relationship Id="rId34" Type="http://schemas.openxmlformats.org/officeDocument/2006/relationships/header" Target="header3.xml"/><Relationship Id="rId7" Type="http://schemas.openxmlformats.org/officeDocument/2006/relationships/hyperlink" Target="http://online.zakon.kz/Document/?doc_id=32587527" TargetMode="External"/><Relationship Id="rId12" Type="http://schemas.openxmlformats.org/officeDocument/2006/relationships/hyperlink" Target="http://online.zakon.kz/Document/?doc_id=34266555" TargetMode="External"/><Relationship Id="rId17" Type="http://schemas.openxmlformats.org/officeDocument/2006/relationships/hyperlink" Target="http://online.zakon.kz/Document/?doc_id=31801158" TargetMode="External"/><Relationship Id="rId25" Type="http://schemas.openxmlformats.org/officeDocument/2006/relationships/hyperlink" Target="http://online.zakon.kz/Document/?doc_id=30002352" TargetMode="External"/><Relationship Id="rId33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hyperlink" Target="http://online.zakon.kz/Document/?doc_id=32668490" TargetMode="External"/><Relationship Id="rId20" Type="http://schemas.openxmlformats.org/officeDocument/2006/relationships/hyperlink" Target="http://online.zakon.kz/Document/?doc_id=32587838" TargetMode="External"/><Relationship Id="rId29" Type="http://schemas.openxmlformats.org/officeDocument/2006/relationships/hyperlink" Target="http://online.zakon.kz/Document/?doc_id=30506906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online.zakon.kz/Document/?doc_id=34266555" TargetMode="External"/><Relationship Id="rId24" Type="http://schemas.openxmlformats.org/officeDocument/2006/relationships/hyperlink" Target="http://online.zakon.kz/Document/?doc_id=30002352" TargetMode="External"/><Relationship Id="rId32" Type="http://schemas.openxmlformats.org/officeDocument/2006/relationships/footer" Target="footer1.xm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online.zakon.kz/Document/?doc_id=39214714" TargetMode="External"/><Relationship Id="rId23" Type="http://schemas.openxmlformats.org/officeDocument/2006/relationships/hyperlink" Target="http://online.zakon.kz/Document/?doc_id=30002352" TargetMode="External"/><Relationship Id="rId28" Type="http://schemas.openxmlformats.org/officeDocument/2006/relationships/hyperlink" Target="http://online.zakon.kz/Document/?doc_id=30506906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online.zakon.kz/Document/?doc_id=35222962" TargetMode="External"/><Relationship Id="rId19" Type="http://schemas.openxmlformats.org/officeDocument/2006/relationships/hyperlink" Target="http://online.zakon.kz/Document/?doc_id=38944815" TargetMode="External"/><Relationship Id="rId31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online.zakon.kz/Document/?doc_id=34266555" TargetMode="External"/><Relationship Id="rId14" Type="http://schemas.openxmlformats.org/officeDocument/2006/relationships/hyperlink" Target="http://online.zakon.kz/Document/?doc_id=39214714" TargetMode="External"/><Relationship Id="rId22" Type="http://schemas.openxmlformats.org/officeDocument/2006/relationships/hyperlink" Target="http://online.zakon.kz/Document/?doc_id=30046009" TargetMode="External"/><Relationship Id="rId27" Type="http://schemas.openxmlformats.org/officeDocument/2006/relationships/hyperlink" Target="http://online.zakon.kz/Document/?doc_id=30506906" TargetMode="External"/><Relationship Id="rId30" Type="http://schemas.openxmlformats.org/officeDocument/2006/relationships/header" Target="header1.xml"/><Relationship Id="rId35" Type="http://schemas.openxmlformats.org/officeDocument/2006/relationships/footer" Target="footer3.xml"/><Relationship Id="rId8" Type="http://schemas.openxmlformats.org/officeDocument/2006/relationships/hyperlink" Target="http://online.zakon.kz/Document/?doc_id=31682327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2101</Words>
  <Characters>11982</Characters>
  <Application>Microsoft Office Word</Application>
  <DocSecurity>0</DocSecurity>
  <Lines>99</Lines>
  <Paragraphs>28</Paragraphs>
  <ScaleCrop>false</ScaleCrop>
  <Company/>
  <LinksUpToDate>false</LinksUpToDate>
  <CharactersWithSpaces>14055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Председателя Комитета по делам строительства и жилищно-коммунального хозяйства Министерства индустрии и инфраструктурного развития Республики Казахстан от 27 апреля 2021 года № 54-НҚ «О внесении изменений и дополнений в некоторые приказы» (©Paragraph 2022)</dc:title>
  <dc:subject/>
  <dc:creator>Сергей М</dc:creator>
  <cp:keywords/>
  <dc:description/>
  <cp:lastModifiedBy>Сергей М</cp:lastModifiedBy>
  <cp:revision>2</cp:revision>
  <dcterms:created xsi:type="dcterms:W3CDTF">2022-08-31T20:06:00Z</dcterms:created>
  <dcterms:modified xsi:type="dcterms:W3CDTF">2022-08-31T20:06:00Z</dcterms:modified>
</cp:coreProperties>
</file>